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C6D1"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2FD98FAA"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79FE70"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成都市企业引进急需紧缺专业技术人才奖励目录</w:t>
      </w:r>
      <w:bookmarkEnd w:id="0"/>
    </w:p>
    <w:p w14:paraId="00374363"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年）</w:t>
      </w:r>
    </w:p>
    <w:p w14:paraId="51939404"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987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Ⅰ类：国内外顶尖人才。主要包括：诺贝尔奖、图灵奖、菲尔兹奖获得者；国家最高科学技术奖获得者；中国科学院院士；中国工程院院士；国家高层次人才特殊支持计划杰出人才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选；国家海外高层次人才引进计划顶尖人才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；国家自然科学奖、国家技术发明奖、国家科学技术进步奖一等奖获得者（第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完成人）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；国家实验室主任；其他按规定享受高层次人才政策的人才。</w:t>
      </w:r>
    </w:p>
    <w:p w14:paraId="30F8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Ⅱ类：国家级领军人才。主要包括：国家高层次人才特殊支持计划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中除杰出人才之外的人选；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国家海外高层次人才引进计划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中除顶尖人才之外的人选；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中国青年科技奖获得者；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国家杰出青年科学基金获得者；国家优秀青年科学基金获得者；国防科技卓越青年科学基金获得者；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国家自然科学奖、国家技术发明奖、国家科学技术进步奖一等奖获得者（第2至5完成人）、二等奖获得者（第1完成人）；</w:t>
      </w:r>
      <w:r>
        <w:rPr>
          <w:rFonts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世界技能大赛金牌获得者</w:t>
      </w:r>
      <w:r>
        <w:rPr>
          <w:rFonts w:hint="eastAsia"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；“国家工程师奖”获得者；中华技能大奖获得者；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享受国务院政府特殊津贴的专家；</w:t>
      </w:r>
      <w:r>
        <w:rPr>
          <w:rFonts w:hint="eastAsia"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全国杰出专业技术人才；大国工匠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其他按规定享受高层次人才政策的人才。</w:t>
      </w:r>
    </w:p>
    <w:p w14:paraId="5B25F11E">
      <w:pPr>
        <w:tabs>
          <w:tab w:val="left" w:pos="7513"/>
          <w:tab w:val="left" w:pos="7655"/>
          <w:tab w:val="left" w:pos="7938"/>
        </w:tabs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Ⅲ类：地方级领军人才。主要包括：国家博士后创新人才支持计划入选者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国家自然科学奖、国家技术发明奖、国家科学技术进步奖二等奖获得者（第 2 至 5 完成人）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青年科技奖获得者；</w:t>
      </w:r>
      <w:r>
        <w:rPr>
          <w:rFonts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世界技能大赛银、铜牌获得者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全国技术能手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国家级技能大师工作室领衔人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color w:val="auto"/>
          <w:kern w:val="0"/>
          <w:sz w:val="33"/>
          <w:szCs w:val="33"/>
          <w:lang w:val="en-US" w:eastAsia="zh-CN" w:bidi="ar"/>
        </w:rPr>
        <w:t>省级学术和技术带头人；省级工匠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其他按规定享受高层次人才政策的人才。</w:t>
      </w:r>
    </w:p>
    <w:p w14:paraId="2A9B8CB1">
      <w:pPr>
        <w:tabs>
          <w:tab w:val="left" w:pos="7513"/>
          <w:tab w:val="left" w:pos="7655"/>
          <w:tab w:val="left" w:pos="7938"/>
        </w:tabs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Ⅳ类：其他高级人才。主要包括：具有正高级专业技术职务任职资格的专业技术人才；取得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国内外高校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博士研究生学历且获得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（国外高校取得的学历及学位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必须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经国家教育主管部门认证通过）；省级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技能大师工作室领衔人；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具有高级技师职业资格或技能等级，并取得以下成果之一的技能人才：副省级城市或省会城市的市级技术能手、技能大师工作室领衔人、工匠、工艺美术大师、非物质文化遗产代表性传承人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；其他按规定享受高层次人才政策的人才。</w:t>
      </w:r>
    </w:p>
    <w:p w14:paraId="2174AD40">
      <w:pPr>
        <w:tabs>
          <w:tab w:val="left" w:pos="7513"/>
          <w:tab w:val="left" w:pos="7655"/>
          <w:tab w:val="left" w:pos="7938"/>
        </w:tabs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（《成都市企业引进急需紧缺专业技术人才奖励目录》根据人才供求情况适时更新）</w:t>
      </w:r>
    </w:p>
    <w:p w14:paraId="4E4CC58D">
      <w:pPr>
        <w:pStyle w:val="4"/>
        <w:rPr>
          <w:rFonts w:hint="eastAsia"/>
          <w:lang w:eastAsia="zh-CN"/>
        </w:rPr>
      </w:pPr>
    </w:p>
    <w:p w14:paraId="02DD46F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C83CFC-70FC-473A-9B6B-F7701993D2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5B58A1-AB9C-4B5B-BBEE-37DC137200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F9B144A-D0C2-47E6-80DC-ACDC30844B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D3CB71-DC05-4B5D-8964-F5AFC4408E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3EE0"/>
    <w:rsid w:val="179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2024-11-26T02:12:00Z</dcterms:created>
  <dc:creator>张诗雨</dc:creator>
  <cp:lastModifiedBy>张诗雨</cp:lastModifiedBy>
  <dcterms:modified xsi:type="dcterms:W3CDTF">2024-11-26T02:12:34Z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9DC27B5560EC4D3DAA8F6021FF88B5AF_11</vt:lpwstr>
  </property>
</Properties>
</file>